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C0" w:rsidRDefault="00BE26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26C0" w:rsidRDefault="00BE26C0">
      <w:pPr>
        <w:pStyle w:val="ConsPlusNormal"/>
        <w:jc w:val="center"/>
        <w:outlineLvl w:val="0"/>
      </w:pPr>
    </w:p>
    <w:p w:rsidR="00BE26C0" w:rsidRDefault="00BE26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E26C0" w:rsidRDefault="00BE26C0">
      <w:pPr>
        <w:pStyle w:val="ConsPlusTitle"/>
        <w:jc w:val="center"/>
      </w:pPr>
    </w:p>
    <w:p w:rsidR="00BE26C0" w:rsidRDefault="00BE26C0">
      <w:pPr>
        <w:pStyle w:val="ConsPlusTitle"/>
        <w:jc w:val="center"/>
      </w:pPr>
      <w:r>
        <w:t>ПОСТАНОВЛЕНИЕ</w:t>
      </w:r>
    </w:p>
    <w:p w:rsidR="00BE26C0" w:rsidRDefault="00BE26C0">
      <w:pPr>
        <w:pStyle w:val="ConsPlusTitle"/>
        <w:jc w:val="center"/>
      </w:pPr>
      <w:r>
        <w:t>от 1 марта 2011 г. N 121</w:t>
      </w:r>
    </w:p>
    <w:p w:rsidR="00BE26C0" w:rsidRDefault="00BE26C0">
      <w:pPr>
        <w:pStyle w:val="ConsPlusTitle"/>
        <w:jc w:val="center"/>
      </w:pPr>
    </w:p>
    <w:p w:rsidR="00BE26C0" w:rsidRDefault="00BE26C0">
      <w:pPr>
        <w:pStyle w:val="ConsPlusTitle"/>
        <w:jc w:val="center"/>
      </w:pPr>
      <w:r>
        <w:t>О ВСЕРОССИЙСКОМ КОНКУРСЕ</w:t>
      </w:r>
    </w:p>
    <w:p w:rsidR="00BE26C0" w:rsidRDefault="00BE26C0">
      <w:pPr>
        <w:pStyle w:val="ConsPlusTitle"/>
        <w:jc w:val="center"/>
      </w:pPr>
      <w:r>
        <w:t>ПРОФЕССИОНАЛЬНОГО МАСТЕРСТВА В СФЕРЕ</w:t>
      </w:r>
    </w:p>
    <w:p w:rsidR="00BE26C0" w:rsidRDefault="00BE26C0">
      <w:pPr>
        <w:pStyle w:val="ConsPlusTitle"/>
        <w:jc w:val="center"/>
      </w:pPr>
      <w:r>
        <w:t>СОЦИАЛЬНОГО ОБСЛУЖИВАНИЯ</w:t>
      </w:r>
    </w:p>
    <w:p w:rsidR="00BE26C0" w:rsidRDefault="00BE26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25.03.2013 </w:t>
            </w:r>
            <w:hyperlink r:id="rId5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20.09.2019 </w:t>
            </w:r>
            <w:hyperlink r:id="rId7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09.06.2021 </w:t>
            </w:r>
            <w:hyperlink r:id="rId8" w:history="1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,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Правительства РФ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21.10.2015 </w:t>
            </w:r>
            <w:hyperlink r:id="rId9" w:history="1">
              <w:r>
                <w:rPr>
                  <w:color w:val="0000FF"/>
                </w:rPr>
                <w:t>N 1124</w:t>
              </w:r>
            </w:hyperlink>
            <w:r>
              <w:rPr>
                <w:color w:val="392C69"/>
              </w:rPr>
              <w:t xml:space="preserve">, от 15.02.2016 </w:t>
            </w:r>
            <w:hyperlink r:id="rId10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07.03.2017 </w:t>
            </w:r>
            <w:hyperlink r:id="rId11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12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31.01.2019 </w:t>
            </w:r>
            <w:hyperlink r:id="rId13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30.11.2019 </w:t>
            </w:r>
            <w:hyperlink r:id="rId14" w:history="1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>,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15" w:history="1">
              <w:r>
                <w:rPr>
                  <w:color w:val="0000FF"/>
                </w:rPr>
                <w:t>N 1912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</w:tr>
    </w:tbl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ind w:firstLine="540"/>
        <w:jc w:val="both"/>
      </w:pPr>
      <w:r>
        <w:t xml:space="preserve">В целях </w:t>
      </w:r>
      <w:hyperlink r:id="rId16" w:history="1">
        <w:r>
          <w:rPr>
            <w:color w:val="0000FF"/>
          </w:rPr>
          <w:t>стимулирования</w:t>
        </w:r>
      </w:hyperlink>
      <w:r>
        <w:t xml:space="preserve"> профессиональной деятельности работников системы социального обслуживания, распространения передовых форм и методов их работы Правительство Российской Федерации постановляет:</w:t>
      </w:r>
    </w:p>
    <w:p w:rsidR="00BE26C0" w:rsidRDefault="00BE26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C0" w:rsidRDefault="00BE26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E26C0" w:rsidRDefault="00BE26C0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в части размеров поощрения приостановлен до 01.01.2022. Размеры на 2020-2021 г. установлены Постановлениями Правительства РФ от 24.11.2020 </w:t>
            </w:r>
            <w:hyperlink r:id="rId17" w:history="1">
              <w:r>
                <w:rPr>
                  <w:color w:val="0000FF"/>
                </w:rPr>
                <w:t>N 1912</w:t>
              </w:r>
            </w:hyperlink>
            <w:r>
              <w:rPr>
                <w:color w:val="392C69"/>
              </w:rPr>
              <w:t xml:space="preserve">, от 30.11.2019 </w:t>
            </w:r>
            <w:hyperlink r:id="rId18" w:history="1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</w:tr>
    </w:tbl>
    <w:p w:rsidR="00BE26C0" w:rsidRDefault="00BE26C0">
      <w:pPr>
        <w:pStyle w:val="ConsPlusNormal"/>
        <w:spacing w:before="280"/>
        <w:ind w:firstLine="540"/>
        <w:jc w:val="both"/>
      </w:pPr>
      <w:r>
        <w:t xml:space="preserve">1. Установить, что ежегодно, начиная с 2021 года, выплачивается единовременное денежное поощрение лучшим работникам системы социального обслуживания (далее - денежное поощрение) по результатам Всероссийского конкурса профессионального мастерства в сфере социального обслуживания (далее - конкурс), проводимого по номинациям по </w:t>
      </w:r>
      <w:hyperlink w:anchor="P46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BE26C0" w:rsidRDefault="00BE26C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09.06.2021 N 880)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Призерам конкурса в каждой номинации денежное поощрение выплачивается в следующих размерах: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500 тыс. рублей - призерам конкурса, занявшим первые места;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300 тыс. рублей - призерам конкурса, занявшим вторые места;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200 тыс. рублей - призерам конкурса, занявшим третьи места.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2. Организацию проведения конкурса и осуществление выплаты денежного поощрения призерам конкурса возложить на Министерство труда и социальной защиты Российской Федерации.</w:t>
      </w:r>
    </w:p>
    <w:p w:rsidR="00BE26C0" w:rsidRDefault="00BE26C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утвердить </w:t>
      </w:r>
      <w:hyperlink r:id="rId21" w:history="1">
        <w:r>
          <w:rPr>
            <w:color w:val="0000FF"/>
          </w:rPr>
          <w:t>условия и порядок</w:t>
        </w:r>
      </w:hyperlink>
      <w:r>
        <w:t xml:space="preserve"> проведения конкурса, которые предусматривают определение критериев отбора номинантов для участия в конкурсе, а также </w:t>
      </w:r>
      <w:hyperlink r:id="rId22" w:history="1">
        <w:r>
          <w:rPr>
            <w:color w:val="0000FF"/>
          </w:rPr>
          <w:t>порядок</w:t>
        </w:r>
      </w:hyperlink>
      <w:r>
        <w:t xml:space="preserve"> выплаты денежного поощрения призерам конкурса.</w:t>
      </w:r>
    </w:p>
    <w:p w:rsidR="00BE26C0" w:rsidRDefault="00BE26C0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4. Финансовое обеспечение расходов, связанных с выплатой денежного поощрения, осуществляется в пределах бюджетных ассигнований федерального бюджета, предусмотренных на обеспечение указанных расходов Министерству труда и социальной защиты Российской Федерации на соответствующий финансовый год.</w:t>
      </w:r>
    </w:p>
    <w:p w:rsidR="00BE26C0" w:rsidRDefault="00BE26C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jc w:val="right"/>
      </w:pPr>
      <w:r>
        <w:t>Председатель Правительства</w:t>
      </w:r>
    </w:p>
    <w:p w:rsidR="00BE26C0" w:rsidRDefault="00BE26C0">
      <w:pPr>
        <w:pStyle w:val="ConsPlusNormal"/>
        <w:jc w:val="right"/>
      </w:pPr>
      <w:r>
        <w:t>Российской Федерации</w:t>
      </w:r>
    </w:p>
    <w:p w:rsidR="00BE26C0" w:rsidRDefault="00BE26C0">
      <w:pPr>
        <w:pStyle w:val="ConsPlusNormal"/>
        <w:jc w:val="right"/>
      </w:pPr>
      <w:r>
        <w:t>В.ПУТИН</w:t>
      </w: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jc w:val="right"/>
        <w:outlineLvl w:val="0"/>
      </w:pPr>
      <w:r>
        <w:t>Приложение</w:t>
      </w:r>
    </w:p>
    <w:p w:rsidR="00BE26C0" w:rsidRDefault="00BE26C0">
      <w:pPr>
        <w:pStyle w:val="ConsPlusNormal"/>
        <w:jc w:val="right"/>
      </w:pPr>
      <w:r>
        <w:t>к постановлению Правительства</w:t>
      </w:r>
    </w:p>
    <w:p w:rsidR="00BE26C0" w:rsidRDefault="00BE26C0">
      <w:pPr>
        <w:pStyle w:val="ConsPlusNormal"/>
        <w:jc w:val="right"/>
      </w:pPr>
      <w:r>
        <w:t>Российской Федерации</w:t>
      </w:r>
    </w:p>
    <w:p w:rsidR="00BE26C0" w:rsidRDefault="00BE26C0">
      <w:pPr>
        <w:pStyle w:val="ConsPlusNormal"/>
        <w:jc w:val="right"/>
      </w:pPr>
      <w:r>
        <w:t>от 1 марта 2011 г. N 121</w:t>
      </w:r>
    </w:p>
    <w:p w:rsidR="00BE26C0" w:rsidRDefault="00BE26C0">
      <w:pPr>
        <w:pStyle w:val="ConsPlusNormal"/>
        <w:jc w:val="both"/>
      </w:pPr>
    </w:p>
    <w:p w:rsidR="00BE26C0" w:rsidRDefault="00BE26C0">
      <w:pPr>
        <w:pStyle w:val="ConsPlusTitle"/>
        <w:jc w:val="center"/>
      </w:pPr>
      <w:bookmarkStart w:id="0" w:name="P46"/>
      <w:bookmarkEnd w:id="0"/>
      <w:r>
        <w:t>ПЕРЕЧЕНЬ</w:t>
      </w:r>
    </w:p>
    <w:p w:rsidR="00BE26C0" w:rsidRDefault="00BE26C0">
      <w:pPr>
        <w:pStyle w:val="ConsPlusTitle"/>
        <w:jc w:val="center"/>
      </w:pPr>
      <w:r>
        <w:t>НОМИНАЦИЙ, ПО КОТОРЫМ ПРОВОДИТСЯ ВСЕРОССИЙСКИЙ</w:t>
      </w:r>
    </w:p>
    <w:p w:rsidR="00BE26C0" w:rsidRDefault="00BE26C0">
      <w:pPr>
        <w:pStyle w:val="ConsPlusTitle"/>
        <w:jc w:val="center"/>
      </w:pPr>
      <w:r>
        <w:t>КОНКУРС ПРОФЕССИОНАЛЬНОГО МАСТЕРСТВА В СФЕРЕ</w:t>
      </w:r>
    </w:p>
    <w:p w:rsidR="00BE26C0" w:rsidRDefault="00BE26C0">
      <w:pPr>
        <w:pStyle w:val="ConsPlusTitle"/>
        <w:jc w:val="center"/>
      </w:pPr>
      <w:r>
        <w:t>СОЦИАЛЬНОГО ОБСЛУЖИВАНИЯ</w:t>
      </w:r>
    </w:p>
    <w:p w:rsidR="00BE26C0" w:rsidRDefault="00BE26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26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26C0" w:rsidRDefault="00BE26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09.06.2021 N 880)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6C0" w:rsidRDefault="00BE26C0">
            <w:pPr>
              <w:spacing w:after="1" w:line="0" w:lineRule="atLeast"/>
            </w:pPr>
          </w:p>
        </w:tc>
      </w:tr>
    </w:tbl>
    <w:p w:rsidR="00BE26C0" w:rsidRDefault="00BE26C0">
      <w:pPr>
        <w:pStyle w:val="ConsPlusNormal"/>
        <w:jc w:val="both"/>
      </w:pPr>
    </w:p>
    <w:p w:rsidR="00BE26C0" w:rsidRDefault="00BE26C0">
      <w:pPr>
        <w:pStyle w:val="ConsPlusNormal"/>
        <w:ind w:firstLine="540"/>
        <w:jc w:val="both"/>
      </w:pPr>
      <w:r>
        <w:t>1. Лучшая практика комплексной поддержки семей с детьми, находящихся в трудной жизненной ситуации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2. Лучшая практика по развитию социальных сервисов для семей с детьми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3. Лучшая практика поддержки семей, воспитывающих детей с ограниченными возможностями здоровья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4. Лучшая практика развития стационарозамещающих технологий помощи детям-инвалидам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5. Лучшая практика ухода за гражданами пожилого возраста и инвалидами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6. Лучшая практика организации активного досуга граждан старшего поколения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7. Лучшая практика сопровождаемого проживания инвалидов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8. Лучшая практика внедрения социального контракта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9. Лучший проект добровольческой организации (волонтеров), реализованный в сфере социального обслуживания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10. Специальная номинация "За созидание и долголетие в профессии"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11. Специальная номинация "Успех года" (лучший руководитель организации социального обслуживания)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lastRenderedPageBreak/>
        <w:t>12. Специальная номинация "Открытие года" (лучший молодой специалист организации социального обслуживания)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13. Специальная номинация "Стабильность и качество" (лучшая организация, предоставляющая социальные услуги в форме социального обслуживания на дому)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14. Специальная номинация "Стабильность и качество" (лучшая организация, предоставляющая социальные услуги в полустационарной форме)</w:t>
      </w:r>
    </w:p>
    <w:p w:rsidR="00BE26C0" w:rsidRDefault="00BE26C0">
      <w:pPr>
        <w:pStyle w:val="ConsPlusNormal"/>
        <w:spacing w:before="220"/>
        <w:ind w:firstLine="540"/>
        <w:jc w:val="both"/>
      </w:pPr>
      <w:r>
        <w:t>15. Специальная номинация "Стабильность и качество" (лучшая организация, предоставляющая социальные услуги в стационарной форме)</w:t>
      </w: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ind w:firstLine="540"/>
        <w:jc w:val="both"/>
      </w:pPr>
    </w:p>
    <w:p w:rsidR="00BE26C0" w:rsidRDefault="00BE2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C57" w:rsidRDefault="00BE26C0">
      <w:bookmarkStart w:id="1" w:name="_GoBack"/>
      <w:bookmarkEnd w:id="1"/>
    </w:p>
    <w:sectPr w:rsidR="004E6C57" w:rsidSect="000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0"/>
    <w:rsid w:val="007E2A50"/>
    <w:rsid w:val="00BE26C0"/>
    <w:rsid w:val="00D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CB08-AD86-4018-89A1-777DC791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2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0862AFD6666DB49BE8F0AD013A229E434F772A8C009936C863C9A688CC2EDA7E02D6E3005A040C626C3025E1DC9100A418707615F68D774AMFN" TargetMode="External"/><Relationship Id="rId13" Type="http://schemas.openxmlformats.org/officeDocument/2006/relationships/hyperlink" Target="consultantplus://offline/ref=FC0862AFD6666DB49BE8F0AD013A229E4346762D8C009936C863C9A688CC2EDA7E02D6E3005A040C626C3025E1DC9100A418707615F68D774AMFN" TargetMode="External"/><Relationship Id="rId18" Type="http://schemas.openxmlformats.org/officeDocument/2006/relationships/hyperlink" Target="consultantplus://offline/ref=FC0862AFD6666DB49BE8F0AD013A229E4344782A8D069936C863C9A688CC2EDA7E02D6E3005A040C626C3025E1DC9100A418707615F68D774AMF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0862AFD6666DB49BE8F0AD013A229E434E752D80049936C863C9A688CC2EDA7E02D6E3005A040D616C3025E1DC9100A418707615F68D774AMFN" TargetMode="External"/><Relationship Id="rId7" Type="http://schemas.openxmlformats.org/officeDocument/2006/relationships/hyperlink" Target="consultantplus://offline/ref=FC0862AFD6666DB49BE8F0AD013A229E43447225880D9936C863C9A688CC2EDA7E02D6E3005A040C626C3025E1DC9100A418707615F68D774AMFN" TargetMode="External"/><Relationship Id="rId12" Type="http://schemas.openxmlformats.org/officeDocument/2006/relationships/hyperlink" Target="consultantplus://offline/ref=FC0862AFD6666DB49BE8F0AD013A229E424F722481049936C863C9A688CC2EDA7E02D6E3005A040C626C3025E1DC9100A418707615F68D774AMFN" TargetMode="External"/><Relationship Id="rId17" Type="http://schemas.openxmlformats.org/officeDocument/2006/relationships/hyperlink" Target="consultantplus://offline/ref=FC0862AFD6666DB49BE8F0AD013A229E434179258D0D9936C863C9A688CC2EDA7E02D6E3005A040C626C3025E1DC9100A418707615F68D774AMFN" TargetMode="External"/><Relationship Id="rId25" Type="http://schemas.openxmlformats.org/officeDocument/2006/relationships/hyperlink" Target="consultantplus://offline/ref=FC0862AFD6666DB49BE8F0AD013A229E434F772A8C009936C863C9A688CC2EDA7E02D6E3005A040D636C3025E1DC9100A418707615F68D774AM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0862AFD6666DB49BE8F0AD013A229E434F772581019936C863C9A688CC2EDA7E02D6E3005A04056F6C3025E1DC9100A418707615F68D774AMFN" TargetMode="External"/><Relationship Id="rId20" Type="http://schemas.openxmlformats.org/officeDocument/2006/relationships/hyperlink" Target="consultantplus://offline/ref=FC0862AFD6666DB49BE8F0AD013A229E4447772F8D039936C863C9A688CC2EDA7E02D6E3005A060E636C3025E1DC9100A418707615F68D774AM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0862AFD6666DB49BE8F0AD013A229E4142782A81009936C863C9A688CC2EDA7E02D6E3005A040C626C3025E1DC9100A418707615F68D774AMFN" TargetMode="External"/><Relationship Id="rId11" Type="http://schemas.openxmlformats.org/officeDocument/2006/relationships/hyperlink" Target="consultantplus://offline/ref=FC0862AFD6666DB49BE8F0AD013A229E4246722481059936C863C9A688CC2EDA7E02D6E3005A040C626C3025E1DC9100A418707615F68D774AMFN" TargetMode="External"/><Relationship Id="rId24" Type="http://schemas.openxmlformats.org/officeDocument/2006/relationships/hyperlink" Target="consultantplus://offline/ref=FC0862AFD6666DB49BE8F0AD013A229E4447772F8D039936C863C9A688CC2EDA7E02D6E3005A060E636C3025E1DC9100A418707615F68D774AMFN" TargetMode="External"/><Relationship Id="rId5" Type="http://schemas.openxmlformats.org/officeDocument/2006/relationships/hyperlink" Target="consultantplus://offline/ref=FC0862AFD6666DB49BE8F0AD013A229E4447772F8D039936C863C9A688CC2EDA7E02D6E3005A060E636C3025E1DC9100A418707615F68D774AMFN" TargetMode="External"/><Relationship Id="rId15" Type="http://schemas.openxmlformats.org/officeDocument/2006/relationships/hyperlink" Target="consultantplus://offline/ref=FC0862AFD6666DB49BE8F0AD013A229E434179258D0D9936C863C9A688CC2EDA7E02D6E3005A040C626C3025E1DC9100A418707615F68D774AMFN" TargetMode="External"/><Relationship Id="rId23" Type="http://schemas.openxmlformats.org/officeDocument/2006/relationships/hyperlink" Target="consultantplus://offline/ref=FC0862AFD6666DB49BE8F0AD013A229E4447772F8D039936C863C9A688CC2EDA7E02D6E3005A060E636C3025E1DC9100A418707615F68D774AMFN" TargetMode="External"/><Relationship Id="rId10" Type="http://schemas.openxmlformats.org/officeDocument/2006/relationships/hyperlink" Target="consultantplus://offline/ref=FC0862AFD6666DB49BE8F0AD013A229E414E752D8C009936C863C9A688CC2EDA7E02D6E3005A040C626C3025E1DC9100A418707615F68D774AMFN" TargetMode="External"/><Relationship Id="rId19" Type="http://schemas.openxmlformats.org/officeDocument/2006/relationships/hyperlink" Target="consultantplus://offline/ref=FC0862AFD6666DB49BE8F0AD013A229E434F772A8C009936C863C9A688CC2EDA7E02D6E3005A040D656C3025E1DC9100A418707615F68D774AM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0862AFD6666DB49BE8F0AD013A229E414F76248D069936C863C9A688CC2EDA7E02D6E3005A040C626C3025E1DC9100A418707615F68D774AMFN" TargetMode="External"/><Relationship Id="rId14" Type="http://schemas.openxmlformats.org/officeDocument/2006/relationships/hyperlink" Target="consultantplus://offline/ref=FC0862AFD6666DB49BE8F0AD013A229E4344782A8D069936C863C9A688CC2EDA7E02D6E3005A040C626C3025E1DC9100A418707615F68D774AMFN" TargetMode="External"/><Relationship Id="rId22" Type="http://schemas.openxmlformats.org/officeDocument/2006/relationships/hyperlink" Target="consultantplus://offline/ref=FC0862AFD6666DB49BE8F0AD013A229E434E752D80049936C863C9A688CC2EDA7E02D6E3005A000C616C3025E1DC9100A418707615F68D774AMF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Харлан Э.С.</dc:creator>
  <cp:keywords/>
  <dc:description/>
  <cp:lastModifiedBy>Харлан Э.С.</cp:lastModifiedBy>
  <cp:revision>1</cp:revision>
  <dcterms:created xsi:type="dcterms:W3CDTF">2022-01-19T13:12:00Z</dcterms:created>
  <dcterms:modified xsi:type="dcterms:W3CDTF">2022-01-19T13:13:00Z</dcterms:modified>
</cp:coreProperties>
</file>